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1276"/>
        <w:gridCol w:w="1780"/>
        <w:gridCol w:w="2126"/>
        <w:gridCol w:w="3816"/>
        <w:gridCol w:w="1418"/>
      </w:tblGrid>
      <w:tr w:rsidR="00D726EA">
        <w:trPr>
          <w:trHeight w:val="821"/>
        </w:trPr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EA" w:rsidRDefault="00B5277B">
            <w:pPr>
              <w:pStyle w:val="TextosemFormata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CHECKLIST DE AERONAVEGABILIDADE 145</w:t>
            </w:r>
          </w:p>
          <w:p w:rsidR="00D726EA" w:rsidRDefault="00B5277B">
            <w:pPr>
              <w:pStyle w:val="TextosemFormata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AUDITORIA EM EMPRESAS DE MANUTENÇÃO</w:t>
            </w:r>
          </w:p>
          <w:p w:rsidR="00D726EA" w:rsidRDefault="00B5277B">
            <w:pPr>
              <w:pStyle w:val="TextosemFormata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PARA UTILIZAÇÂO NO GIASO*</w:t>
            </w:r>
          </w:p>
          <w:p w:rsidR="00D726EA" w:rsidRDefault="00B5277B">
            <w:pPr>
              <w:pStyle w:val="TextosemFormata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*Não pode ser utilizado fora do sistema GIASO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EA" w:rsidRDefault="00B5277B">
            <w:pPr>
              <w:pStyle w:val="TextosemFormatao"/>
              <w:jc w:val="center"/>
            </w:pPr>
            <w:r w:rsidRPr="00FC13C0">
              <w:rPr>
                <w:color w:val="000000"/>
              </w:rPr>
              <w:object w:dxaOrig="1891" w:dyaOrig="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4.5pt;height:38.25pt;visibility:visible;mso-wrap-style:square" o:ole="">
                  <v:imagedata r:id="rId6" o:title=""/>
                </v:shape>
                <o:OLEObject Type="Embed" ProgID="PBrush" ShapeID="Picture 1" DrawAspect="Content" ObjectID="_1541331731" r:id="rId7"/>
              </w:object>
            </w:r>
          </w:p>
          <w:p w:rsidR="00D726EA" w:rsidRDefault="00B5277B">
            <w:pPr>
              <w:pStyle w:val="TextosemFormata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AGÊNCIA NACIONAL DE AVIAÇÃO CIVIL</w:t>
            </w:r>
          </w:p>
          <w:p w:rsidR="00D726EA" w:rsidRDefault="00B5277B">
            <w:pPr>
              <w:pStyle w:val="TextosemFormata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Superintendência de Aeronavegabilidade</w:t>
            </w:r>
          </w:p>
        </w:tc>
      </w:tr>
      <w:tr w:rsidR="00D726EA">
        <w:trPr>
          <w:trHeight w:val="654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6EA" w:rsidRDefault="00B5277B">
            <w:pPr>
              <w:pStyle w:val="TextosemFormata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REGRAS DE OPERAÇÃO</w:t>
            </w:r>
          </w:p>
          <w:p w:rsidR="00D726EA" w:rsidRDefault="00B5277B">
            <w:pPr>
              <w:pStyle w:val="TextosemFormatao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(MÓDULO 1)</w:t>
            </w:r>
          </w:p>
        </w:tc>
      </w:tr>
      <w:tr w:rsidR="00D726EA">
        <w:trPr>
          <w:trHeight w:val="3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Numeração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Referência 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Pergunta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Regra Default</w:t>
            </w:r>
          </w:p>
        </w:tc>
      </w:tr>
      <w:tr w:rsidR="00D726EA">
        <w:trPr>
          <w:trHeight w:val="1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145.5 (a), 145.61(a), 145.201(a)(b)(c), 145.215(a), 43.2, 43.3(e), 43.7(c), 43.12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A organização executou manutenção, subcontratou outra pessoa para executar manutenção e aprovou para retorno ao serviço somente os artigos os quais possui prerrogativa de acordo com sua certificação, dentro das limitações em suas especificações operativas, e com os dados técnicos aplicáveis, equipamentos e recursos disponíveis?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1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cs="Tahoma"/>
                <w:color w:val="000000"/>
                <w:sz w:val="18"/>
                <w:szCs w:val="18"/>
              </w:rPr>
              <w:t>145.51(d), 145.51(a</w:t>
            </w:r>
            <w:proofErr w:type="gramStart"/>
            <w:r>
              <w:rPr>
                <w:rFonts w:cs="Tahoma"/>
                <w:color w:val="000000"/>
                <w:sz w:val="18"/>
                <w:szCs w:val="18"/>
              </w:rPr>
              <w:t>)(</w:t>
            </w:r>
            <w:proofErr w:type="gramEnd"/>
            <w:r>
              <w:rPr>
                <w:rFonts w:cs="Tahoma"/>
                <w:color w:val="000000"/>
                <w:sz w:val="18"/>
                <w:szCs w:val="18"/>
              </w:rPr>
              <w:t>5)-II, 145.105(a)(b)(c), 145.57(a) (a)-I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A organização, caso tenha realizado mudança de endereço, instalações (capacidade) ou razão social, solicitou uma emenda ao certificado através de um requerimento aceitável e dentro do prazo definido e o fez após aprovação escrita da ANAC, respeitando as restrições e limitações impostas?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1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145.209(d)(2), 145.215(b)(c)(d)(e)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 xml:space="preserve">Ao introduzir um novo artigo ou alterar a sua lista de capacidade, a organização realizou a autoavaliação de acordo com o procedimento definido no seu manual da organização de manutenção e submeteu à ANAC, para aceitação, a lista revisada (verificar se cada artigo está identificado pelo fabricante e modelo)? </w:t>
            </w:r>
            <w:r>
              <w:rPr>
                <w:rFonts w:eastAsia="Times New Roman"/>
                <w:b/>
                <w:color w:val="000000"/>
                <w:lang w:eastAsia="pt-BR"/>
              </w:rPr>
              <w:t>[145.209 (d)(2) prazo: 08/03/2015]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9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145.5(b)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O certificado de organização de manutenção e as respectivas especificações operativas estão disponíveis no local para inspeção pelo público e pela ANAC?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7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145.203 (a)(b)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Caso a organização tenha executado trabalho em outra localidade, o fez em caráter especial (conforme determinado pela ANAC) ou recorrente (conforme definido em seu manual da organização) e utilizando os equipamentos, ferramentas, materiais, dados técnicos e pessoal necessários (que devem ter sido transportados temporariamente)?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145.205(a)(d)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A organização executa manutenção para organização aérea RBAC 121 ou 135 seguindo o programa de manutenção ou manual do operador, com o equipamento necessário, pessoal treinado, dados técnicos aplicáveis e somente se tiver autorização para executar manutenção de linha em sua especificação operativa?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4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145.207(a)(b)(c)(d)(e)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O manual da organização em utilização pela organização é a última versão e foi aceita ou enviada à ANAC para conhecimento (verificar se as últimas alterações são aceitáveis e se o manual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está acessível para consulta pelo pessoal da organização de manutenção e seus procedimentos estão sendo seguidos) ? </w:t>
            </w:r>
            <w:r>
              <w:rPr>
                <w:rFonts w:eastAsia="Times New Roman"/>
                <w:b/>
                <w:color w:val="000000"/>
                <w:lang w:eastAsia="pt-BR"/>
              </w:rPr>
              <w:t>[145.207(d) prazo: 08/03/2014]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1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145.51(a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1)-I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A organização apresentou a declaração de conformidade listando todos os requisitos aplicáveis dos RBAC 43 e 145 com uma breve descrição de como a empresa os cumpre e com a referência específica da seção/item do manual onde consta tal informação?</w:t>
            </w:r>
            <w:r>
              <w:rPr>
                <w:rFonts w:eastAsia="Times New Roman"/>
                <w:b/>
                <w:color w:val="000000"/>
                <w:lang w:eastAsia="pt-BR"/>
              </w:rPr>
              <w:t xml:space="preserve"> [145.51(a</w:t>
            </w:r>
            <w:proofErr w:type="gramStart"/>
            <w:r>
              <w:rPr>
                <w:rFonts w:eastAsia="Times New Roman"/>
                <w:b/>
                <w:color w:val="000000"/>
                <w:lang w:eastAsia="pt-BR"/>
              </w:rPr>
              <w:t>)(</w:t>
            </w:r>
            <w:proofErr w:type="gramEnd"/>
            <w:r>
              <w:rPr>
                <w:rFonts w:eastAsia="Times New Roman"/>
                <w:b/>
                <w:color w:val="000000"/>
                <w:lang w:eastAsia="pt-BR"/>
              </w:rPr>
              <w:t>1)-I prazo: 08/03/2015]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lastRenderedPageBreak/>
              <w:t>AIR 145.1.9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145.211(a)(b)(c)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 xml:space="preserve">A organização estabelece e mantém um sistema de controle de qualidade definido em um manual de controle de qualidade (verificar se foi submetido à ANAC e se está em um formato aceitável) que assegure a aeronavegabilidade dos artigos nos quais executa trabalho (verificar se o pessoal segue o manual quando executa manutenção)? </w:t>
            </w:r>
            <w:r>
              <w:rPr>
                <w:rFonts w:eastAsia="Times New Roman"/>
                <w:b/>
                <w:color w:val="000000"/>
                <w:lang w:eastAsia="pt-BR"/>
              </w:rPr>
              <w:t>[145.211(c) prazo: 08/03/2014]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7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145.217(a)(b)(c), 145.51(a)(6)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A organização subcontrata outro provedor de serviços externo, somente para funções de manutenção aceitas pela ANAC, não subcontratando integralmente os serviços que se propõe realizar, conforme descrito no manual da organização? E mantém uma lista com as funções e o nome da pessoa externa subcontratada contendo suas certificações, se possuir?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9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145.217(b)(1)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A organização garante que a pessoa subcontratada, caso não possua certificação RBAC 145, cumpre com um sistema de controle de qualidade equivalente ao da contratante?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145.217(b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2)(3)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organização demonstra ser diretamente responsável pelo serviço executado pela pessoa subcontratada não certificada e verifica por meio de teste e/ou inspeção que o trabalho foi executado satisfatoriamente antes de determinar a aeronavegabilidade e aprovar o artigo para retorno ao serviço?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9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145.223(b)(c)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organização especifica no contrato de subcontratação que a ANAC pode realizar inspeções e observar o desempenho da pessoa não certificada?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145.211(c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1)(i)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organização executa inspeção de recebimento de toda matéria prima e artigos que entram na organização de modo a garantir a aeronavegabilidade, conforme seu sistema de controle de qualidade?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8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145.211(c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1)(ii)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organização executa a inspeção preliminar em todos os artigos que são mantidos por ela, conforme seu sistema de controle de qualidade?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145.211(c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1)(iii)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organização executa a inspeção em artigos que estiveram envolvidos em acidentes quanto a danos ocultos antes de realizar a manutenção, conforme seu sistema de controle de qualidade?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145.211(c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1)(vii)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organização executa inspeção final e aprovação para retorno ao serviço dos artigos trabalhados conforme seu sistema de controle de qualidade?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7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145.213(a)(b)(d)(d)-I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organização inspecionou cada artigo e certifica por meio de uma liberação de manutenção assinada por pessoa qualificada, habilitada segundo o RBHA/RBAC 65 e que conste na lista de pessoal autorizado, que o artigo está aeronavegável com relação à manutenção após sua execução e inspeção final?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1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145.219(a)(c)(d), 43.5, 43.9(a)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Os registros de manutenção são preenchidos conforme requerido e retidos pela empresa pelo período de 5 anos a partir da data em que o artigo foi aprovado, em formato aceitável, e são disponibilizados à ANAC quando requeridos?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7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145.219(b)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A organização provê uma via da liberação de manutenção ou, quando aplicável, do certificado de liberação autorizada ao proprietário ou operador do artigo?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1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lastRenderedPageBreak/>
              <w:t>AIR 145.1.21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145.221(a)(b)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organização relata à ANAC e ao detentor do projeto do artigo qualquer falha séria, mau funcionamento e defeito em até 96 horas após a descoberta, quando aplicável, em formato aceitável, e contendo todas as informações necessárias?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11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145.211(c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1)(ix)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 organização demonstra e comprova como corrigiu as não conformidades e implementou os Planos de Ações Corretivas (PAC) referentes às últimas auditorias da ANAC, conforme definido em seu sistema de controle de qualidade?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9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145.221-I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A organização de manutenção certificada encaminhou até o último dia útil do mês subsequente os relatórios mensais de serviços e o relatório trimestral do pessoal técnico?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D726EA">
        <w:trPr>
          <w:trHeight w:val="8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145.214-I(a)(b)(1)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lang w:eastAsia="pt-BR"/>
              </w:rPr>
              <w:t>A organização estabeleceu, implementou e mantém o SGSO, conforme plano de implementação requerido e aceito pela ANAC?</w:t>
            </w:r>
            <w:r>
              <w:rPr>
                <w:rFonts w:eastAsia="Times New Roman"/>
                <w:b/>
                <w:color w:val="000000"/>
                <w:lang w:eastAsia="pt-BR"/>
              </w:rPr>
              <w:t xml:space="preserve"> [145.214-I(a) prazo: 08/03/2014 (b) prazo: 08/03/2019]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6EA" w:rsidRDefault="00B527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  <w:tr w:rsidR="00EF29AA">
        <w:trPr>
          <w:trHeight w:val="8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AA" w:rsidRDefault="00EF29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F29A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AIR 145.1.25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AA" w:rsidRPr="00EF29AA" w:rsidRDefault="00EF29AA" w:rsidP="00EF29AA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F29AA">
              <w:rPr>
                <w:rFonts w:cs="Tahoma"/>
                <w:color w:val="000000"/>
                <w:sz w:val="18"/>
                <w:szCs w:val="18"/>
              </w:rPr>
              <w:t>145.109-(D); IS 91-001</w:t>
            </w:r>
          </w:p>
          <w:p w:rsidR="00EF29AA" w:rsidRDefault="00EF29AA" w:rsidP="00EF29AA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AA" w:rsidRPr="00EF29AA" w:rsidRDefault="00EF29AA" w:rsidP="00EF29AA">
            <w:pPr>
              <w:spacing w:after="0" w:line="240" w:lineRule="auto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EF29AA">
              <w:rPr>
                <w:rFonts w:eastAsia="Times New Roman"/>
                <w:color w:val="000000"/>
                <w:lang w:eastAsia="pt-BR"/>
              </w:rPr>
              <w:t>Verificar a conformidade do processo de emissão de Laudo de aeronavegabilidade para operações PBN, conforme</w:t>
            </w:r>
            <w:r w:rsidR="00E8793C">
              <w:rPr>
                <w:rFonts w:eastAsia="Times New Roman"/>
                <w:color w:val="000000"/>
                <w:lang w:eastAsia="pt-BR"/>
              </w:rPr>
              <w:t xml:space="preserve"> previsto na IS 91-001,</w:t>
            </w:r>
            <w:r w:rsidRPr="00EF29AA">
              <w:rPr>
                <w:rFonts w:eastAsia="Times New Roman"/>
                <w:color w:val="000000"/>
                <w:lang w:eastAsia="pt-BR"/>
              </w:rPr>
              <w:t xml:space="preserve"> aplicável para a OM.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AA" w:rsidRDefault="00EF29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</w:t>
            </w:r>
          </w:p>
        </w:tc>
      </w:tr>
    </w:tbl>
    <w:p w:rsidR="00D726EA" w:rsidRDefault="00D726EA">
      <w:pPr>
        <w:rPr>
          <w:color w:val="000000"/>
        </w:rPr>
      </w:pPr>
    </w:p>
    <w:sectPr w:rsidR="00D726EA" w:rsidSect="00FC13C0">
      <w:footerReference w:type="default" r:id="rId8"/>
      <w:pgSz w:w="11906" w:h="16838"/>
      <w:pgMar w:top="1134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FC" w:rsidRDefault="00F901FC">
      <w:pPr>
        <w:spacing w:after="0" w:line="240" w:lineRule="auto"/>
      </w:pPr>
      <w:r>
        <w:separator/>
      </w:r>
    </w:p>
  </w:endnote>
  <w:endnote w:type="continuationSeparator" w:id="0">
    <w:p w:rsidR="00F901FC" w:rsidRDefault="00F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7E" w:rsidRDefault="00E97BD8">
    <w:pPr>
      <w:pStyle w:val="Cabealho"/>
      <w:spacing w:after="0" w:line="240" w:lineRule="auto"/>
      <w:ind w:left="142"/>
    </w:pPr>
    <w:r>
      <w:rPr>
        <w:rFonts w:ascii="Arial" w:hAnsi="Arial" w:cs="Arial"/>
        <w:sz w:val="16"/>
        <w:szCs w:val="16"/>
      </w:rPr>
      <w:t>F-900-</w:t>
    </w:r>
    <w:proofErr w:type="gramStart"/>
    <w:r>
      <w:rPr>
        <w:rFonts w:ascii="Arial" w:hAnsi="Arial" w:cs="Arial"/>
        <w:sz w:val="16"/>
        <w:szCs w:val="16"/>
      </w:rPr>
      <w:t>41D</w:t>
    </w:r>
    <w:proofErr w:type="gramEnd"/>
    <w:r>
      <w:rPr>
        <w:rFonts w:ascii="Arial" w:hAnsi="Arial" w:cs="Arial"/>
        <w:sz w:val="16"/>
        <w:szCs w:val="16"/>
      </w:rPr>
      <w:t xml:space="preserve"> (</w:t>
    </w:r>
    <w:r w:rsidR="000F15B1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-1</w:t>
    </w:r>
    <w:r w:rsidR="000F15B1">
      <w:rPr>
        <w:rFonts w:ascii="Arial" w:hAnsi="Arial" w:cs="Arial"/>
        <w:sz w:val="16"/>
        <w:szCs w:val="16"/>
      </w:rPr>
      <w:t>6</w:t>
    </w:r>
    <w:r w:rsidR="00B5277B">
      <w:rPr>
        <w:rFonts w:ascii="Arial" w:hAnsi="Arial" w:cs="Arial"/>
        <w:sz w:val="16"/>
        <w:szCs w:val="16"/>
      </w:rPr>
      <w:t xml:space="preserve">) (pág. </w:t>
    </w:r>
    <w:r w:rsidR="00FC13C0">
      <w:rPr>
        <w:rFonts w:ascii="Arial" w:hAnsi="Arial" w:cs="Arial"/>
        <w:sz w:val="16"/>
        <w:szCs w:val="16"/>
      </w:rPr>
      <w:fldChar w:fldCharType="begin"/>
    </w:r>
    <w:r w:rsidR="00B5277B">
      <w:rPr>
        <w:rFonts w:ascii="Arial" w:hAnsi="Arial" w:cs="Arial"/>
        <w:sz w:val="16"/>
        <w:szCs w:val="16"/>
      </w:rPr>
      <w:instrText xml:space="preserve"> PAGE </w:instrText>
    </w:r>
    <w:r w:rsidR="00FC13C0">
      <w:rPr>
        <w:rFonts w:ascii="Arial" w:hAnsi="Arial" w:cs="Arial"/>
        <w:sz w:val="16"/>
        <w:szCs w:val="16"/>
      </w:rPr>
      <w:fldChar w:fldCharType="separate"/>
    </w:r>
    <w:r w:rsidR="000F15B1">
      <w:rPr>
        <w:rFonts w:ascii="Arial" w:hAnsi="Arial" w:cs="Arial"/>
        <w:noProof/>
        <w:sz w:val="16"/>
        <w:szCs w:val="16"/>
      </w:rPr>
      <w:t>1</w:t>
    </w:r>
    <w:r w:rsidR="00FC13C0">
      <w:rPr>
        <w:rFonts w:ascii="Arial" w:hAnsi="Arial" w:cs="Arial"/>
        <w:sz w:val="16"/>
        <w:szCs w:val="16"/>
      </w:rPr>
      <w:fldChar w:fldCharType="end"/>
    </w:r>
    <w:r w:rsidR="00B5277B">
      <w:rPr>
        <w:rFonts w:ascii="Arial" w:hAnsi="Arial" w:cs="Arial"/>
        <w:sz w:val="16"/>
        <w:szCs w:val="16"/>
      </w:rPr>
      <w:t>/</w:t>
    </w:r>
    <w:r w:rsidR="00FC13C0">
      <w:rPr>
        <w:rFonts w:ascii="Arial" w:hAnsi="Arial" w:cs="Arial"/>
        <w:sz w:val="16"/>
        <w:szCs w:val="16"/>
      </w:rPr>
      <w:fldChar w:fldCharType="begin"/>
    </w:r>
    <w:r w:rsidR="00B5277B">
      <w:rPr>
        <w:rFonts w:ascii="Arial" w:hAnsi="Arial" w:cs="Arial"/>
        <w:sz w:val="16"/>
        <w:szCs w:val="16"/>
      </w:rPr>
      <w:instrText xml:space="preserve"> NUMPAGES </w:instrText>
    </w:r>
    <w:r w:rsidR="00FC13C0">
      <w:rPr>
        <w:rFonts w:ascii="Arial" w:hAnsi="Arial" w:cs="Arial"/>
        <w:sz w:val="16"/>
        <w:szCs w:val="16"/>
      </w:rPr>
      <w:fldChar w:fldCharType="separate"/>
    </w:r>
    <w:r w:rsidR="000F15B1">
      <w:rPr>
        <w:rFonts w:ascii="Arial" w:hAnsi="Arial" w:cs="Arial"/>
        <w:noProof/>
        <w:sz w:val="16"/>
        <w:szCs w:val="16"/>
      </w:rPr>
      <w:t>3</w:t>
    </w:r>
    <w:r w:rsidR="00FC13C0">
      <w:rPr>
        <w:rFonts w:ascii="Arial" w:hAnsi="Arial" w:cs="Arial"/>
        <w:sz w:val="16"/>
        <w:szCs w:val="16"/>
      </w:rPr>
      <w:fldChar w:fldCharType="end"/>
    </w:r>
    <w:r w:rsidR="00B5277B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FC" w:rsidRDefault="00F901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01FC" w:rsidRDefault="00F9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6EA"/>
    <w:rsid w:val="000F15B1"/>
    <w:rsid w:val="006B7318"/>
    <w:rsid w:val="00AE7315"/>
    <w:rsid w:val="00B5277B"/>
    <w:rsid w:val="00D726EA"/>
    <w:rsid w:val="00E8793C"/>
    <w:rsid w:val="00E97BD8"/>
    <w:rsid w:val="00EE619A"/>
    <w:rsid w:val="00EF29AA"/>
    <w:rsid w:val="00F901FC"/>
    <w:rsid w:val="00FC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13C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3C0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TextosemFormataoChar">
    <w:name w:val="Texto sem Formatação Char"/>
    <w:rsid w:val="00FC13C0"/>
    <w:rPr>
      <w:rFonts w:ascii="Consolas" w:eastAsia="Times New Roman" w:hAnsi="Consolas"/>
      <w:sz w:val="21"/>
      <w:szCs w:val="21"/>
    </w:rPr>
  </w:style>
  <w:style w:type="paragraph" w:styleId="Cabealho">
    <w:name w:val="header"/>
    <w:basedOn w:val="Normal"/>
    <w:rsid w:val="00FC1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FC13C0"/>
    <w:rPr>
      <w:sz w:val="22"/>
      <w:szCs w:val="22"/>
      <w:lang w:eastAsia="en-US"/>
    </w:rPr>
  </w:style>
  <w:style w:type="paragraph" w:styleId="Rodap">
    <w:name w:val="footer"/>
    <w:basedOn w:val="Normal"/>
    <w:rsid w:val="00FC13C0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FC13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 DE AERONAVEGABILIDADE 121</vt:lpstr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DE AERONAVEGABILIDADE 121</dc:title>
  <dc:subject/>
  <dc:creator>roberto.honorato</dc:creator>
  <cp:lastModifiedBy>gustavo.carneiro</cp:lastModifiedBy>
  <cp:revision>6</cp:revision>
  <dcterms:created xsi:type="dcterms:W3CDTF">2016-10-27T13:09:00Z</dcterms:created>
  <dcterms:modified xsi:type="dcterms:W3CDTF">2016-11-22T16:56:00Z</dcterms:modified>
</cp:coreProperties>
</file>